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EF" w:rsidRDefault="002345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Mesto Vrútky</w:t>
      </w:r>
    </w:p>
    <w:p w:rsidR="001965EF" w:rsidRDefault="002345C6">
      <w:pPr>
        <w:pBdr>
          <w:bottom w:val="single" w:sz="4" w:space="3" w:color="00000A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1965EF" w:rsidRDefault="002345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Predkladacia správa</w:t>
      </w:r>
    </w:p>
    <w:p w:rsidR="001965EF" w:rsidRDefault="002345C6">
      <w:pPr>
        <w:tabs>
          <w:tab w:val="left" w:pos="108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Určené:</w:t>
      </w:r>
    </w:p>
    <w:p w:rsidR="001965EF" w:rsidRDefault="002345C6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  <w:iCs/>
        </w:rPr>
        <w:t xml:space="preserve">na zasadnutie Mestskej rady vo Vrútkach dňa </w:t>
      </w:r>
      <w:r w:rsidR="00916BD8">
        <w:rPr>
          <w:rFonts w:ascii="Times New Roman" w:hAnsi="Times New Roman" w:cs="Times New Roman"/>
          <w:b/>
          <w:bCs/>
          <w:iCs/>
        </w:rPr>
        <w:t>16.</w:t>
      </w:r>
      <w:r>
        <w:rPr>
          <w:rFonts w:ascii="Times New Roman" w:hAnsi="Times New Roman" w:cs="Times New Roman"/>
          <w:b/>
          <w:bCs/>
          <w:iCs/>
        </w:rPr>
        <w:t xml:space="preserve">09.2020 a </w:t>
      </w:r>
    </w:p>
    <w:p w:rsidR="001965EF" w:rsidRDefault="002345C6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Mestského zastupiteľstva vo Vrútkach dňa: 22.09.2020</w:t>
      </w:r>
    </w:p>
    <w:p w:rsidR="001965EF" w:rsidRDefault="002345C6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  <w:bCs/>
        </w:rPr>
        <w:t>Názov materiálu: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965EF" w:rsidRDefault="001965EF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</w:rPr>
      </w:pPr>
    </w:p>
    <w:p w:rsidR="001965EF" w:rsidRDefault="002345C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STANOVISKO HLAVNÉHO KONTROLÓRA K PREVERENIU PODMIENOK NA PRIJATIE NÁVRATNEJ FINANČNEJ VÝPOMOCI  </w:t>
      </w:r>
    </w:p>
    <w:p w:rsidR="001965EF" w:rsidRDefault="001965E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5EF" w:rsidRDefault="001965E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5EF" w:rsidRDefault="002345C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Dôvodová správa:</w:t>
      </w:r>
    </w:p>
    <w:p w:rsidR="001965EF" w:rsidRDefault="002345C6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 dôvodu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negatívneho vývoja v príjme z podielových daní v roku 2020, ovplyvneného predovšetkým pandémiou ochorenia COVID-19, poslanci na svojom zasadnutí dňa 25.08.2020 schválili uznesenie 51/2020, ktorým uložili </w:t>
      </w:r>
      <w:r>
        <w:rPr>
          <w:rFonts w:ascii="Times New Roman" w:hAnsi="Times New Roman" w:cs="Times New Roman"/>
          <w:sz w:val="24"/>
          <w:szCs w:val="24"/>
        </w:rPr>
        <w:t>Mestskému úradu pripraviť podklady pre prijatie návr</w:t>
      </w:r>
      <w:r>
        <w:rPr>
          <w:rFonts w:ascii="Times New Roman" w:hAnsi="Times New Roman" w:cs="Times New Roman"/>
          <w:sz w:val="24"/>
          <w:szCs w:val="24"/>
        </w:rPr>
        <w:t>atnej finančnej výpomoci od Ministerstva financií Slovenskej republiky na výkon samosprávnych pôsobností z dôvodu kompenzácie výpadku dane z príjmov fyzických osôb v roku 2020 v dôsledku pandémie ochorenia COVID-19.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1965EF" w:rsidRDefault="002345C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na uznesenie:</w:t>
      </w:r>
    </w:p>
    <w:p w:rsidR="001965EF" w:rsidRDefault="002345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Mestská rada Vrútky</w:t>
      </w:r>
    </w:p>
    <w:p w:rsidR="001965EF" w:rsidRDefault="002345C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odporúča MsZ zobrať na vedomie</w:t>
      </w:r>
    </w:p>
    <w:p w:rsidR="001965EF" w:rsidRDefault="002345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Stanovisko hlavného kontrolóra k prevereniu podmienok na prijatie NFV</w:t>
      </w:r>
    </w:p>
    <w:p w:rsidR="001965EF" w:rsidRDefault="001965EF">
      <w:pPr>
        <w:spacing w:after="0"/>
        <w:rPr>
          <w:rFonts w:ascii="Times New Roman" w:hAnsi="Times New Roman" w:cs="Times New Roman"/>
          <w:bCs/>
        </w:rPr>
      </w:pPr>
    </w:p>
    <w:p w:rsidR="001965EF" w:rsidRDefault="002345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Mestské zastupiteľstvo Vrútky</w:t>
      </w:r>
    </w:p>
    <w:p w:rsidR="001965EF" w:rsidRDefault="002345C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berie na vedomie </w:t>
      </w:r>
    </w:p>
    <w:p w:rsidR="001965EF" w:rsidRDefault="002345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Stanovisko hlavného kontrolóra k prevereniu podmienok na prijatie NFV.</w:t>
      </w:r>
    </w:p>
    <w:p w:rsidR="001965EF" w:rsidRDefault="002345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 Vrútkach, dňa 27.08.2020</w:t>
      </w:r>
    </w:p>
    <w:p w:rsidR="001965EF" w:rsidRDefault="00234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Spracoval:</w:t>
      </w:r>
      <w:r>
        <w:rPr>
          <w:rFonts w:ascii="Times New Roman" w:hAnsi="Times New Roman" w:cs="Times New Roman"/>
        </w:rPr>
        <w:tab/>
        <w:t xml:space="preserve">Dušan Chrastina hlavný kontrolór </w:t>
      </w:r>
    </w:p>
    <w:p w:rsidR="001965EF" w:rsidRDefault="002345C6">
      <w:pPr>
        <w:ind w:firstLin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Predkladá: </w:t>
      </w:r>
      <w:r>
        <w:rPr>
          <w:rFonts w:ascii="Times New Roman" w:hAnsi="Times New Roman" w:cs="Times New Roman"/>
        </w:rPr>
        <w:tab/>
        <w:t xml:space="preserve">Dušan Chrastina hlavný kontrolór </w:t>
      </w:r>
    </w:p>
    <w:p w:rsidR="001965EF" w:rsidRDefault="002345C6">
      <w:pPr>
        <w:tabs>
          <w:tab w:val="left" w:pos="1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</w:t>
      </w:r>
    </w:p>
    <w:p w:rsidR="001965EF" w:rsidRDefault="002345C6">
      <w:pPr>
        <w:tabs>
          <w:tab w:val="left" w:pos="1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podpis predkladateľa  </w:t>
      </w:r>
    </w:p>
    <w:p w:rsidR="001965EF" w:rsidRDefault="002345C6">
      <w:pPr>
        <w:pStyle w:val="Nadpis"/>
        <w:spacing w:before="0" w:after="0"/>
        <w:rPr>
          <w:rFonts w:ascii="Times New Roman" w:hAnsi="Times New Roman" w:cs="Times New Roman"/>
          <w:lang w:val="cs-CZ" w:eastAsia="sk-SK"/>
        </w:rPr>
      </w:pPr>
      <w:r>
        <w:rPr>
          <w:rFonts w:ascii="Times New Roman" w:hAnsi="Times New Roman" w:cs="Times New Roman"/>
          <w:noProof/>
          <w:lang w:eastAsia="sk-SK" w:bidi="ar-SA"/>
        </w:rPr>
        <w:lastRenderedPageBreak/>
        <w:drawing>
          <wp:anchor distT="0" distB="4445" distL="114300" distR="116205" simplePos="0" relativeHeight="2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-9525</wp:posOffset>
            </wp:positionV>
            <wp:extent cx="626745" cy="719455"/>
            <wp:effectExtent l="0" t="0" r="0" b="0"/>
            <wp:wrapNone/>
            <wp:docPr id="1" name="Obrázok 1" descr="pril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priloh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5EF" w:rsidRDefault="002345C6">
      <w:pPr>
        <w:pStyle w:val="Nadpis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 e s t o   V r ú t k</w:t>
      </w:r>
      <w:r>
        <w:rPr>
          <w:rFonts w:ascii="Times New Roman" w:hAnsi="Times New Roman" w:cs="Times New Roman"/>
        </w:rPr>
        <w:t xml:space="preserve"> y – hlavný kontrolór</w:t>
      </w:r>
    </w:p>
    <w:p w:rsidR="001965EF" w:rsidRDefault="002345C6">
      <w:pPr>
        <w:pStyle w:val="Podtitul"/>
      </w:pPr>
      <w:r>
        <w:t xml:space="preserve">      Námestie S. Zachara 4, 038 61  Vrútky</w:t>
      </w:r>
    </w:p>
    <w:p w:rsidR="001965EF" w:rsidRDefault="002345C6">
      <w:pPr>
        <w:pStyle w:val="Podtitul"/>
        <w:pBdr>
          <w:bottom w:val="single" w:sz="4" w:space="1" w:color="00000A"/>
        </w:pBdr>
        <w:rPr>
          <w:u w:val="single"/>
        </w:rPr>
      </w:pPr>
      <w:r>
        <w:t xml:space="preserve">                </w:t>
      </w:r>
      <w:r>
        <w:rPr>
          <w:u w:val="single"/>
        </w:rPr>
        <w:t xml:space="preserve"> </w:t>
      </w:r>
    </w:p>
    <w:p w:rsidR="001965EF" w:rsidRDefault="00234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</w:t>
      </w:r>
    </w:p>
    <w:p w:rsidR="001965EF" w:rsidRPr="00916BD8" w:rsidRDefault="002345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916BD8">
        <w:rPr>
          <w:rFonts w:ascii="Times New Roman" w:hAnsi="Times New Roman" w:cs="Times New Roman"/>
          <w:b/>
          <w:bCs/>
          <w:color w:val="auto"/>
          <w:sz w:val="20"/>
          <w:szCs w:val="20"/>
        </w:rPr>
        <w:t>Reg. č. MsÚ-17</w:t>
      </w:r>
      <w:r w:rsidR="00916BD8" w:rsidRPr="00916BD8">
        <w:rPr>
          <w:rFonts w:ascii="Times New Roman" w:hAnsi="Times New Roman" w:cs="Times New Roman"/>
          <w:b/>
          <w:bCs/>
          <w:color w:val="auto"/>
          <w:sz w:val="20"/>
          <w:szCs w:val="20"/>
        </w:rPr>
        <w:t>22</w:t>
      </w:r>
      <w:r w:rsidRPr="00916BD8">
        <w:rPr>
          <w:rFonts w:ascii="Times New Roman" w:hAnsi="Times New Roman" w:cs="Times New Roman"/>
          <w:b/>
          <w:bCs/>
          <w:color w:val="auto"/>
          <w:sz w:val="20"/>
          <w:szCs w:val="20"/>
        </w:rPr>
        <w:t>/20</w:t>
      </w:r>
      <w:r w:rsidR="00916BD8" w:rsidRPr="00916BD8">
        <w:rPr>
          <w:rFonts w:ascii="Times New Roman" w:hAnsi="Times New Roman" w:cs="Times New Roman"/>
          <w:b/>
          <w:bCs/>
          <w:color w:val="auto"/>
          <w:sz w:val="20"/>
          <w:szCs w:val="20"/>
        </w:rPr>
        <w:t>20</w:t>
      </w:r>
      <w:r w:rsidRPr="00916BD8">
        <w:rPr>
          <w:rFonts w:ascii="Times New Roman" w:hAnsi="Times New Roman" w:cs="Times New Roman"/>
          <w:b/>
          <w:bCs/>
          <w:color w:val="auto"/>
          <w:sz w:val="20"/>
          <w:szCs w:val="20"/>
        </w:rPr>
        <w:t>/HK-</w:t>
      </w:r>
      <w:r w:rsidR="00916BD8" w:rsidRPr="00916BD8">
        <w:rPr>
          <w:rFonts w:ascii="Times New Roman" w:hAnsi="Times New Roman" w:cs="Times New Roman"/>
          <w:b/>
          <w:bCs/>
          <w:color w:val="auto"/>
          <w:sz w:val="20"/>
          <w:szCs w:val="20"/>
        </w:rPr>
        <w:t>5130/2020</w:t>
      </w:r>
    </w:p>
    <w:p w:rsidR="001965EF" w:rsidRPr="00916BD8" w:rsidRDefault="001965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1965EF" w:rsidRDefault="001965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1965EF" w:rsidRDefault="00196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65EF" w:rsidRDefault="002345C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STANOVISKO HLAVNÉHO KONTROLÓRA K PREVERENIU PODMIENOK NA PRIJATIE FINANČNEJ VÝPOMOCI  </w:t>
      </w:r>
    </w:p>
    <w:p w:rsidR="001965EF" w:rsidRDefault="00196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5EF" w:rsidRDefault="002345C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Mesto Vrútky 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rozhodlo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prijať návratnú finančnú výpomoc, ktorú schválila vláda SR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uznesením č. 494 z 12. augusta 2020, </w:t>
      </w:r>
      <w:r>
        <w:rPr>
          <w:rFonts w:ascii="Times New Roman" w:hAnsi="Times New Roman" w:cs="Times New Roman"/>
          <w:color w:val="auto"/>
          <w:sz w:val="24"/>
          <w:szCs w:val="24"/>
        </w:rPr>
        <w:t>na výkon samosprávnych pôsobností z dôvodu kompenzácie výpadku dane z príjmov fyzických osôb v roku 2020 v dôsledku pandémie ochorenia COVID-19.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Maxi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málna možná výška úveru pre naše mesto predstavuje čiastku </w:t>
      </w:r>
      <w:r>
        <w:rPr>
          <w:rStyle w:val="Zdraznenie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198 063 €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 Splácanie úveru bude prebiehať v rokoch 2024 až 2027. V súlade s § 17 ods. 14 zákona 583/2004 Z. z. </w:t>
      </w: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o rozpočt</w:t>
      </w:r>
      <w:r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>ových pravidlách územnej samosprávy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je povinný hlavný kontrolór vykonať preverenie podmienok pre </w:t>
      </w:r>
      <w:r>
        <w:rPr>
          <w:rFonts w:ascii="Times New Roman" w:hAnsi="Times New Roman" w:cs="Times New Roman"/>
          <w:sz w:val="24"/>
          <w:szCs w:val="24"/>
          <w:lang w:eastAsia="sk-SK"/>
        </w:rPr>
        <w:t>prijatie návratných zdrojov financovania. Podmienky pre prijatie návratného zdroja financovania sa vyhodnocujú v dvoch rovinách. Podľa zákona 583/2004 Z. z., § 17 ods. 6 písm. a) sa posudzuje po</w:t>
      </w:r>
      <w:r>
        <w:rPr>
          <w:rFonts w:ascii="Times New Roman" w:hAnsi="Times New Roman" w:cs="Times New Roman"/>
          <w:sz w:val="24"/>
          <w:szCs w:val="24"/>
          <w:lang w:eastAsia="sk-SK"/>
        </w:rPr>
        <w:t>diel celkového dlhu obce k skutočným bežným príjmom obce v predchádzajúcom roku. Tento pomer nesmie presiahnuť 60 %. Podľa ods. 6 písm. b) celková suma splátok návratných zdrojov financovania neprekročí v príslušnom roku 25 % skutočných bežných príjmov pre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dchádzajúceho rozpočtového roka znížených o transfery poskytnuté v príslušnom rozpočtovom roku obci. Pre prijatie uvedenej finančnej výpomoci boli obce Ministerstvom financií Slovenskej republiky usmernené, že pre výpočet zadlženia sa bude postupovať tak,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aby </w:t>
      </w:r>
      <w:r>
        <w:rPr>
          <w:rFonts w:ascii="Times New Roman" w:hAnsi="Times New Roman" w:cs="Times New Roman"/>
          <w:sz w:val="24"/>
          <w:szCs w:val="24"/>
        </w:rPr>
        <w:t>celková suma dlhu obce alebo vyššieho územného celku neprekročila 50% skutočných bežných príjmov predchádzajúceho rozpočtového roka.</w:t>
      </w:r>
      <w:r>
        <w:rPr>
          <w:sz w:val="27"/>
          <w:szCs w:val="27"/>
        </w:rPr>
        <w:t> </w:t>
      </w:r>
    </w:p>
    <w:p w:rsidR="001965EF" w:rsidRDefault="001965EF">
      <w:pPr>
        <w:spacing w:after="0" w:line="240" w:lineRule="auto"/>
        <w:jc w:val="both"/>
        <w:rPr>
          <w:sz w:val="27"/>
          <w:szCs w:val="27"/>
        </w:rPr>
      </w:pPr>
    </w:p>
    <w:p w:rsidR="001965EF" w:rsidRDefault="00234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Kontrola splnenia podmienky podľa § 17 ods. 6 písm. a)</w:t>
      </w:r>
    </w:p>
    <w:p w:rsidR="001965EF" w:rsidRDefault="00196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5EF" w:rsidRDefault="001965EF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W w:w="7760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600"/>
        <w:gridCol w:w="1560"/>
      </w:tblGrid>
      <w:tr w:rsidR="001965EF">
        <w:trPr>
          <w:trHeight w:val="645"/>
          <w:jc w:val="center"/>
        </w:trPr>
        <w:tc>
          <w:tcPr>
            <w:tcW w:w="4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6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Bežné príjmy v roku 2019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 mesta</w:t>
            </w:r>
          </w:p>
        </w:tc>
      </w:tr>
      <w:tr w:rsidR="001965EF">
        <w:trPr>
          <w:trHeight w:val="480"/>
          <w:jc w:val="center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Skutočné bežné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príjmy obce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7 765 986,96 €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965EF">
        <w:trPr>
          <w:trHeight w:val="330"/>
          <w:jc w:val="center"/>
        </w:trPr>
        <w:tc>
          <w:tcPr>
            <w:tcW w:w="77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965EF">
        <w:trPr>
          <w:trHeight w:val="480"/>
          <w:jc w:val="center"/>
        </w:trPr>
        <w:tc>
          <w:tcPr>
            <w:tcW w:w="77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 mesta k 31.12.2019 bez úveru zo ŠFRB</w:t>
            </w:r>
          </w:p>
        </w:tc>
      </w:tr>
      <w:tr w:rsidR="001965EF">
        <w:trPr>
          <w:trHeight w:val="480"/>
          <w:jc w:val="center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Zostatok istiny z bankových úverov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 588 879,19 € </w:t>
            </w:r>
          </w:p>
        </w:tc>
      </w:tr>
      <w:tr w:rsidR="001965EF">
        <w:trPr>
          <w:trHeight w:val="465"/>
          <w:jc w:val="center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Zostatok istiny z nájmu 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18 340,67 € </w:t>
            </w:r>
          </w:p>
        </w:tc>
      </w:tr>
      <w:tr w:rsidR="001965EF">
        <w:trPr>
          <w:trHeight w:val="465"/>
          <w:jc w:val="center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dlhodobé záväzky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20 804,14 € </w:t>
            </w:r>
          </w:p>
        </w:tc>
      </w:tr>
      <w:tr w:rsidR="001965EF">
        <w:trPr>
          <w:trHeight w:val="480"/>
          <w:jc w:val="center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Celková suma dlhu mesta k.31.08.2019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628 024,00 €</w:t>
            </w:r>
          </w:p>
        </w:tc>
      </w:tr>
    </w:tbl>
    <w:p w:rsidR="001965EF" w:rsidRDefault="001965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965EF" w:rsidRDefault="002345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628 024 : 7 765 986,96 = 8,08 %</w:t>
      </w:r>
    </w:p>
    <w:p w:rsidR="001965EF" w:rsidRDefault="001965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965EF" w:rsidRDefault="001965E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65EF" w:rsidRDefault="002345C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Kontrola splnenia podmienky podľa písm. b)</w:t>
      </w:r>
    </w:p>
    <w:p w:rsidR="001965EF" w:rsidRDefault="001965E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7760" w:type="dxa"/>
        <w:tblInd w:w="5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599"/>
        <w:gridCol w:w="1600"/>
        <w:gridCol w:w="1561"/>
      </w:tblGrid>
      <w:tr w:rsidR="001965EF">
        <w:trPr>
          <w:trHeight w:val="645"/>
        </w:trPr>
        <w:tc>
          <w:tcPr>
            <w:tcW w:w="4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Príjmová časť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Výdavková časť</w:t>
            </w:r>
          </w:p>
        </w:tc>
      </w:tr>
      <w:tr w:rsidR="001965EF">
        <w:trPr>
          <w:trHeight w:val="330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Bežné príjmy mesta k 31.12.2018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7 765 986,96 €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965EF">
        <w:trPr>
          <w:trHeight w:val="330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 toho transfery, dotácie, dary 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2 221 090,96 €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965EF">
        <w:trPr>
          <w:trHeight w:val="330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Upravené bežné príjmy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5 544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896,00 €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965EF">
        <w:trPr>
          <w:trHeight w:val="330"/>
        </w:trPr>
        <w:tc>
          <w:tcPr>
            <w:tcW w:w="77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965EF">
        <w:trPr>
          <w:trHeight w:val="330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Splátky vrátane úrokov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965EF">
        <w:trPr>
          <w:trHeight w:val="330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Úver DSS, Kriváň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104 342,00 €</w:t>
            </w:r>
          </w:p>
        </w:tc>
      </w:tr>
      <w:tr w:rsidR="001965EF">
        <w:trPr>
          <w:trHeight w:val="330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MŠ FRP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1 264,67 €</w:t>
            </w:r>
          </w:p>
        </w:tc>
      </w:tr>
      <w:tr w:rsidR="001965EF">
        <w:trPr>
          <w:trHeight w:val="330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ŠFRB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35 204,05 €</w:t>
            </w:r>
          </w:p>
        </w:tc>
      </w:tr>
      <w:tr w:rsidR="001965EF">
        <w:trPr>
          <w:trHeight w:val="330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Leasing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8 685,95 €</w:t>
            </w:r>
          </w:p>
        </w:tc>
      </w:tr>
      <w:tr w:rsidR="001965EF">
        <w:trPr>
          <w:trHeight w:val="330"/>
        </w:trPr>
        <w:tc>
          <w:tcPr>
            <w:tcW w:w="4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Splátky nového úveru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965EF">
        <w:trPr>
          <w:trHeight w:val="330"/>
        </w:trPr>
        <w:tc>
          <w:tcPr>
            <w:tcW w:w="619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1965EF" w:rsidRDefault="0023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Celkové ročné splátky</w:t>
            </w: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965EF" w:rsidRDefault="0023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149 496,67 €</w:t>
            </w:r>
          </w:p>
        </w:tc>
      </w:tr>
    </w:tbl>
    <w:p w:rsidR="001965EF" w:rsidRDefault="001965E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65EF" w:rsidRDefault="001965E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65EF" w:rsidRDefault="002345C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149 496,67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5 544 896,00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= 2,7 %</w:t>
      </w:r>
    </w:p>
    <w:p w:rsidR="001965EF" w:rsidRDefault="00196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5EF" w:rsidRDefault="001965EF">
      <w:pPr>
        <w:spacing w:after="0" w:line="240" w:lineRule="auto"/>
        <w:rPr>
          <w:b/>
          <w:sz w:val="24"/>
          <w:szCs w:val="24"/>
        </w:rPr>
      </w:pPr>
    </w:p>
    <w:p w:rsidR="001965EF" w:rsidRDefault="00196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5EF" w:rsidRDefault="002345C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 preverovaní</w:t>
      </w:r>
      <w:r>
        <w:rPr>
          <w:rFonts w:ascii="Times New Roman" w:hAnsi="Times New Roman" w:cs="Times New Roman"/>
          <w:bCs/>
          <w:sz w:val="24"/>
          <w:szCs w:val="24"/>
        </w:rPr>
        <w:t xml:space="preserve"> podmienok pre prijatie návratnej finančnej výpomoci  bolo zistené:</w:t>
      </w:r>
    </w:p>
    <w:p w:rsidR="001965EF" w:rsidRDefault="00196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5EF" w:rsidRDefault="002345C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 v prvom prípade bol percentuálny pomer </w:t>
      </w:r>
      <w:r>
        <w:rPr>
          <w:rFonts w:ascii="Times New Roman" w:hAnsi="Times New Roman" w:cs="Times New Roman"/>
          <w:b/>
          <w:bCs/>
          <w:sz w:val="24"/>
          <w:szCs w:val="24"/>
        </w:rPr>
        <w:t>8,08 %</w:t>
      </w:r>
      <w:r>
        <w:rPr>
          <w:rFonts w:ascii="Times New Roman" w:hAnsi="Times New Roman" w:cs="Times New Roman"/>
          <w:bCs/>
          <w:sz w:val="24"/>
          <w:szCs w:val="24"/>
        </w:rPr>
        <w:t xml:space="preserve">  ( max. 50%)</w:t>
      </w:r>
    </w:p>
    <w:p w:rsidR="001965EF" w:rsidRDefault="002345C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v druhom prípade </w:t>
      </w:r>
      <w:r>
        <w:rPr>
          <w:rFonts w:ascii="Times New Roman" w:hAnsi="Times New Roman" w:cs="Times New Roman"/>
          <w:b/>
          <w:bCs/>
          <w:sz w:val="24"/>
          <w:szCs w:val="24"/>
        </w:rPr>
        <w:t>2,7 %</w:t>
      </w:r>
      <w:r>
        <w:rPr>
          <w:rFonts w:ascii="Times New Roman" w:hAnsi="Times New Roman" w:cs="Times New Roman"/>
          <w:bCs/>
          <w:sz w:val="24"/>
          <w:szCs w:val="24"/>
        </w:rPr>
        <w:t xml:space="preserve"> (max 25%)</w:t>
      </w:r>
    </w:p>
    <w:p w:rsidR="001965EF" w:rsidRDefault="001965EF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5EF" w:rsidRDefault="002345C6">
      <w:pPr>
        <w:pStyle w:val="Odsekzoznamu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Na základe výsledku preverenia podmienok pre prijatie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bezúročnej návratnej finančnej výpomoci </w:t>
      </w:r>
      <w:r>
        <w:rPr>
          <w:rFonts w:ascii="Times New Roman" w:hAnsi="Times New Roman" w:cs="Times New Roman"/>
          <w:bCs/>
          <w:sz w:val="24"/>
          <w:szCs w:val="24"/>
        </w:rPr>
        <w:t>konštatujem, že Mesto Vrútky spĺňa obidve podmienky pre prijatie finančnej výpomoci.</w:t>
      </w:r>
    </w:p>
    <w:p w:rsidR="001965EF" w:rsidRDefault="001965EF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5EF" w:rsidRDefault="001965EF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5EF" w:rsidRDefault="002345C6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 Vrútkach: 27.08.2020                                         Dušan Chrastina</w:t>
      </w:r>
    </w:p>
    <w:p w:rsidR="001965EF" w:rsidRDefault="002345C6">
      <w:pPr>
        <w:pStyle w:val="Odsekzoznamu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hlavný kontrolór mesta</w:t>
      </w:r>
    </w:p>
    <w:sectPr w:rsidR="001965EF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2DD"/>
    <w:multiLevelType w:val="multilevel"/>
    <w:tmpl w:val="0248C1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26E37F5"/>
    <w:multiLevelType w:val="multilevel"/>
    <w:tmpl w:val="FD9612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EF"/>
    <w:rsid w:val="001965EF"/>
    <w:rsid w:val="002345C6"/>
    <w:rsid w:val="009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uiPriority w:val="99"/>
    <w:qFormat/>
    <w:locked/>
    <w:rPr>
      <w:rFonts w:ascii="Times New Roman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Pr>
      <w:rFonts w:cs="Times New Roman"/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locked/>
    <w:rPr>
      <w:rFonts w:ascii="Calibri" w:eastAsia="Times New Roman" w:hAnsi="Calibri" w:cs="Times New Roman"/>
      <w:color w:val="00000A"/>
    </w:rPr>
  </w:style>
  <w:style w:type="character" w:customStyle="1" w:styleId="ZkladntextChar1">
    <w:name w:val="Základný text Char1"/>
    <w:basedOn w:val="Predvolenpsmoodseku"/>
    <w:uiPriority w:val="99"/>
    <w:semiHidden/>
    <w:qFormat/>
    <w:rPr>
      <w:rFonts w:ascii="Calibri" w:eastAsia="Times New Roman" w:hAnsi="Calibri" w:cs="Times New Roman"/>
      <w:color w:val="00000A"/>
    </w:rPr>
  </w:style>
  <w:style w:type="character" w:customStyle="1" w:styleId="PodtitulChar1">
    <w:name w:val="Podtitul Char1"/>
    <w:basedOn w:val="Predvolenpsmoodseku"/>
    <w:uiPriority w:val="99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uiPriority w:val="99"/>
    <w:qFormat/>
    <w:rsid w:val="00291DCB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291DCB"/>
  </w:style>
  <w:style w:type="character" w:customStyle="1" w:styleId="ListLabel3">
    <w:name w:val="ListLabel 3"/>
    <w:uiPriority w:val="99"/>
    <w:qFormat/>
    <w:rsid w:val="00291DCB"/>
  </w:style>
  <w:style w:type="character" w:customStyle="1" w:styleId="ListLabel4">
    <w:name w:val="ListLabel 4"/>
    <w:uiPriority w:val="99"/>
    <w:qFormat/>
    <w:rsid w:val="00291DCB"/>
  </w:style>
  <w:style w:type="character" w:customStyle="1" w:styleId="ListLabel5">
    <w:name w:val="ListLabel 5"/>
    <w:uiPriority w:val="99"/>
    <w:qFormat/>
    <w:rsid w:val="00291DCB"/>
  </w:style>
  <w:style w:type="character" w:customStyle="1" w:styleId="ListLabel6">
    <w:name w:val="ListLabel 6"/>
    <w:uiPriority w:val="99"/>
    <w:qFormat/>
    <w:rsid w:val="00291DCB"/>
  </w:style>
  <w:style w:type="character" w:customStyle="1" w:styleId="ListLabel7">
    <w:name w:val="ListLabel 7"/>
    <w:uiPriority w:val="99"/>
    <w:qFormat/>
    <w:rsid w:val="00291DCB"/>
  </w:style>
  <w:style w:type="character" w:customStyle="1" w:styleId="ListLabel8">
    <w:name w:val="ListLabel 8"/>
    <w:uiPriority w:val="99"/>
    <w:qFormat/>
    <w:rsid w:val="00291DCB"/>
  </w:style>
  <w:style w:type="character" w:customStyle="1" w:styleId="ListLabel9">
    <w:name w:val="ListLabel 9"/>
    <w:uiPriority w:val="99"/>
    <w:qFormat/>
    <w:rsid w:val="00291DCB"/>
  </w:style>
  <w:style w:type="character" w:customStyle="1" w:styleId="ListLabel10">
    <w:name w:val="ListLabel 10"/>
    <w:uiPriority w:val="99"/>
    <w:qFormat/>
    <w:rsid w:val="00291DCB"/>
  </w:style>
  <w:style w:type="character" w:customStyle="1" w:styleId="ListLabel11">
    <w:name w:val="ListLabel 11"/>
    <w:uiPriority w:val="99"/>
    <w:qFormat/>
    <w:rsid w:val="00291DCB"/>
  </w:style>
  <w:style w:type="character" w:customStyle="1" w:styleId="ListLabel12">
    <w:name w:val="ListLabel 12"/>
    <w:uiPriority w:val="99"/>
    <w:qFormat/>
    <w:rsid w:val="00291DCB"/>
  </w:style>
  <w:style w:type="character" w:customStyle="1" w:styleId="ListLabel13">
    <w:name w:val="ListLabel 13"/>
    <w:uiPriority w:val="99"/>
    <w:qFormat/>
    <w:rsid w:val="00291DCB"/>
  </w:style>
  <w:style w:type="character" w:customStyle="1" w:styleId="ListLabel14">
    <w:name w:val="ListLabel 14"/>
    <w:uiPriority w:val="99"/>
    <w:qFormat/>
    <w:rsid w:val="00291DCB"/>
  </w:style>
  <w:style w:type="character" w:customStyle="1" w:styleId="ListLabel15">
    <w:name w:val="ListLabel 15"/>
    <w:uiPriority w:val="99"/>
    <w:qFormat/>
    <w:rsid w:val="00291DCB"/>
  </w:style>
  <w:style w:type="character" w:customStyle="1" w:styleId="ListLabel16">
    <w:name w:val="ListLabel 16"/>
    <w:uiPriority w:val="99"/>
    <w:qFormat/>
    <w:rsid w:val="00291DCB"/>
  </w:style>
  <w:style w:type="character" w:customStyle="1" w:styleId="ListLabel17">
    <w:name w:val="ListLabel 17"/>
    <w:uiPriority w:val="99"/>
    <w:qFormat/>
    <w:rsid w:val="00291DCB"/>
  </w:style>
  <w:style w:type="character" w:customStyle="1" w:styleId="ListLabel18">
    <w:name w:val="ListLabel 18"/>
    <w:uiPriority w:val="99"/>
    <w:qFormat/>
    <w:rsid w:val="00291DCB"/>
  </w:style>
  <w:style w:type="character" w:customStyle="1" w:styleId="BodyTextChar1">
    <w:name w:val="Body Text Char1"/>
    <w:basedOn w:val="Predvolenpsmoodseku"/>
    <w:uiPriority w:val="99"/>
    <w:semiHidden/>
    <w:qFormat/>
    <w:rsid w:val="005D2B86"/>
    <w:rPr>
      <w:color w:val="00000A"/>
      <w:lang w:eastAsia="en-US"/>
    </w:rPr>
  </w:style>
  <w:style w:type="character" w:customStyle="1" w:styleId="SubtitleChar1">
    <w:name w:val="Subtitle Char1"/>
    <w:basedOn w:val="Predvolenpsmoodseku"/>
    <w:uiPriority w:val="11"/>
    <w:qFormat/>
    <w:rsid w:val="005D2B86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9305C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Zdraznenie">
    <w:name w:val="Zdôraznenie"/>
    <w:basedOn w:val="Predvolenpsmoodseku"/>
    <w:uiPriority w:val="20"/>
    <w:qFormat/>
    <w:locked/>
    <w:rsid w:val="000A1742"/>
    <w:rPr>
      <w:i/>
      <w:iCs/>
    </w:rPr>
  </w:style>
  <w:style w:type="character" w:customStyle="1" w:styleId="ListLabel59">
    <w:name w:val="ListLabel 59"/>
    <w:qFormat/>
    <w:rPr>
      <w:rFonts w:ascii="Times New Roman" w:hAnsi="Times New Roman" w:cs="Wingdings"/>
      <w:b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eastAsia="Times New Roman" w:cs="Times New Roman"/>
      <w:b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Times New Roman" w:hAnsi="Times New Roman" w:cs="Wingdings"/>
      <w:b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Times New Roman"/>
      <w:b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paragraph" w:customStyle="1" w:styleId="Nadpis">
    <w:name w:val="Nadpis"/>
    <w:basedOn w:val="Normlny"/>
    <w:next w:val="Zkladntext"/>
    <w:uiPriority w:val="99"/>
    <w:qFormat/>
    <w:pPr>
      <w:keepNext/>
      <w:suppressAutoHyphens/>
      <w:spacing w:before="240" w:after="120" w:line="240" w:lineRule="auto"/>
      <w:textAlignment w:val="baseline"/>
    </w:pPr>
    <w:rPr>
      <w:rFonts w:ascii="Arial Black" w:hAnsi="Arial Black" w:cs="Arial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pPr>
      <w:spacing w:after="120"/>
    </w:pPr>
  </w:style>
  <w:style w:type="paragraph" w:styleId="Zoznam">
    <w:name w:val="List"/>
    <w:basedOn w:val="Zkladntext"/>
    <w:uiPriority w:val="99"/>
    <w:rsid w:val="00291DCB"/>
    <w:rPr>
      <w:rFonts w:ascii="Arial" w:hAnsi="Arial"/>
    </w:rPr>
  </w:style>
  <w:style w:type="paragraph" w:styleId="Popis">
    <w:name w:val="caption"/>
    <w:basedOn w:val="Normlny"/>
    <w:uiPriority w:val="99"/>
    <w:qFormat/>
    <w:rsid w:val="00291DCB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Normlny"/>
    <w:uiPriority w:val="99"/>
    <w:qFormat/>
    <w:rsid w:val="00291DCB"/>
    <w:pPr>
      <w:suppressLineNumbers/>
    </w:pPr>
    <w:rPr>
      <w:rFonts w:ascii="Arial" w:hAnsi="Arial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lny14pt">
    <w:name w:val="Normálny + 14 pt"/>
    <w:basedOn w:val="Normlny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9305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uiPriority w:val="99"/>
    <w:qFormat/>
    <w:locked/>
    <w:rPr>
      <w:rFonts w:ascii="Times New Roman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Pr>
      <w:rFonts w:cs="Times New Roman"/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locked/>
    <w:rPr>
      <w:rFonts w:ascii="Calibri" w:eastAsia="Times New Roman" w:hAnsi="Calibri" w:cs="Times New Roman"/>
      <w:color w:val="00000A"/>
    </w:rPr>
  </w:style>
  <w:style w:type="character" w:customStyle="1" w:styleId="ZkladntextChar1">
    <w:name w:val="Základný text Char1"/>
    <w:basedOn w:val="Predvolenpsmoodseku"/>
    <w:uiPriority w:val="99"/>
    <w:semiHidden/>
    <w:qFormat/>
    <w:rPr>
      <w:rFonts w:ascii="Calibri" w:eastAsia="Times New Roman" w:hAnsi="Calibri" w:cs="Times New Roman"/>
      <w:color w:val="00000A"/>
    </w:rPr>
  </w:style>
  <w:style w:type="character" w:customStyle="1" w:styleId="PodtitulChar1">
    <w:name w:val="Podtitul Char1"/>
    <w:basedOn w:val="Predvolenpsmoodseku"/>
    <w:uiPriority w:val="99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uiPriority w:val="99"/>
    <w:qFormat/>
    <w:rsid w:val="00291DCB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291DCB"/>
  </w:style>
  <w:style w:type="character" w:customStyle="1" w:styleId="ListLabel3">
    <w:name w:val="ListLabel 3"/>
    <w:uiPriority w:val="99"/>
    <w:qFormat/>
    <w:rsid w:val="00291DCB"/>
  </w:style>
  <w:style w:type="character" w:customStyle="1" w:styleId="ListLabel4">
    <w:name w:val="ListLabel 4"/>
    <w:uiPriority w:val="99"/>
    <w:qFormat/>
    <w:rsid w:val="00291DCB"/>
  </w:style>
  <w:style w:type="character" w:customStyle="1" w:styleId="ListLabel5">
    <w:name w:val="ListLabel 5"/>
    <w:uiPriority w:val="99"/>
    <w:qFormat/>
    <w:rsid w:val="00291DCB"/>
  </w:style>
  <w:style w:type="character" w:customStyle="1" w:styleId="ListLabel6">
    <w:name w:val="ListLabel 6"/>
    <w:uiPriority w:val="99"/>
    <w:qFormat/>
    <w:rsid w:val="00291DCB"/>
  </w:style>
  <w:style w:type="character" w:customStyle="1" w:styleId="ListLabel7">
    <w:name w:val="ListLabel 7"/>
    <w:uiPriority w:val="99"/>
    <w:qFormat/>
    <w:rsid w:val="00291DCB"/>
  </w:style>
  <w:style w:type="character" w:customStyle="1" w:styleId="ListLabel8">
    <w:name w:val="ListLabel 8"/>
    <w:uiPriority w:val="99"/>
    <w:qFormat/>
    <w:rsid w:val="00291DCB"/>
  </w:style>
  <w:style w:type="character" w:customStyle="1" w:styleId="ListLabel9">
    <w:name w:val="ListLabel 9"/>
    <w:uiPriority w:val="99"/>
    <w:qFormat/>
    <w:rsid w:val="00291DCB"/>
  </w:style>
  <w:style w:type="character" w:customStyle="1" w:styleId="ListLabel10">
    <w:name w:val="ListLabel 10"/>
    <w:uiPriority w:val="99"/>
    <w:qFormat/>
    <w:rsid w:val="00291DCB"/>
  </w:style>
  <w:style w:type="character" w:customStyle="1" w:styleId="ListLabel11">
    <w:name w:val="ListLabel 11"/>
    <w:uiPriority w:val="99"/>
    <w:qFormat/>
    <w:rsid w:val="00291DCB"/>
  </w:style>
  <w:style w:type="character" w:customStyle="1" w:styleId="ListLabel12">
    <w:name w:val="ListLabel 12"/>
    <w:uiPriority w:val="99"/>
    <w:qFormat/>
    <w:rsid w:val="00291DCB"/>
  </w:style>
  <w:style w:type="character" w:customStyle="1" w:styleId="ListLabel13">
    <w:name w:val="ListLabel 13"/>
    <w:uiPriority w:val="99"/>
    <w:qFormat/>
    <w:rsid w:val="00291DCB"/>
  </w:style>
  <w:style w:type="character" w:customStyle="1" w:styleId="ListLabel14">
    <w:name w:val="ListLabel 14"/>
    <w:uiPriority w:val="99"/>
    <w:qFormat/>
    <w:rsid w:val="00291DCB"/>
  </w:style>
  <w:style w:type="character" w:customStyle="1" w:styleId="ListLabel15">
    <w:name w:val="ListLabel 15"/>
    <w:uiPriority w:val="99"/>
    <w:qFormat/>
    <w:rsid w:val="00291DCB"/>
  </w:style>
  <w:style w:type="character" w:customStyle="1" w:styleId="ListLabel16">
    <w:name w:val="ListLabel 16"/>
    <w:uiPriority w:val="99"/>
    <w:qFormat/>
    <w:rsid w:val="00291DCB"/>
  </w:style>
  <w:style w:type="character" w:customStyle="1" w:styleId="ListLabel17">
    <w:name w:val="ListLabel 17"/>
    <w:uiPriority w:val="99"/>
    <w:qFormat/>
    <w:rsid w:val="00291DCB"/>
  </w:style>
  <w:style w:type="character" w:customStyle="1" w:styleId="ListLabel18">
    <w:name w:val="ListLabel 18"/>
    <w:uiPriority w:val="99"/>
    <w:qFormat/>
    <w:rsid w:val="00291DCB"/>
  </w:style>
  <w:style w:type="character" w:customStyle="1" w:styleId="BodyTextChar1">
    <w:name w:val="Body Text Char1"/>
    <w:basedOn w:val="Predvolenpsmoodseku"/>
    <w:uiPriority w:val="99"/>
    <w:semiHidden/>
    <w:qFormat/>
    <w:rsid w:val="005D2B86"/>
    <w:rPr>
      <w:color w:val="00000A"/>
      <w:lang w:eastAsia="en-US"/>
    </w:rPr>
  </w:style>
  <w:style w:type="character" w:customStyle="1" w:styleId="SubtitleChar1">
    <w:name w:val="Subtitle Char1"/>
    <w:basedOn w:val="Predvolenpsmoodseku"/>
    <w:uiPriority w:val="11"/>
    <w:qFormat/>
    <w:rsid w:val="005D2B86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Wingdings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9305C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Zdraznenie">
    <w:name w:val="Zdôraznenie"/>
    <w:basedOn w:val="Predvolenpsmoodseku"/>
    <w:uiPriority w:val="20"/>
    <w:qFormat/>
    <w:locked/>
    <w:rsid w:val="000A1742"/>
    <w:rPr>
      <w:i/>
      <w:iCs/>
    </w:rPr>
  </w:style>
  <w:style w:type="character" w:customStyle="1" w:styleId="ListLabel59">
    <w:name w:val="ListLabel 59"/>
    <w:qFormat/>
    <w:rPr>
      <w:rFonts w:ascii="Times New Roman" w:hAnsi="Times New Roman" w:cs="Wingdings"/>
      <w:b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eastAsia="Times New Roman" w:cs="Times New Roman"/>
      <w:b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Times New Roman" w:hAnsi="Times New Roman" w:cs="Wingdings"/>
      <w:b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Times New Roman"/>
      <w:b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paragraph" w:customStyle="1" w:styleId="Nadpis">
    <w:name w:val="Nadpis"/>
    <w:basedOn w:val="Normlny"/>
    <w:next w:val="Zkladntext"/>
    <w:uiPriority w:val="99"/>
    <w:qFormat/>
    <w:pPr>
      <w:keepNext/>
      <w:suppressAutoHyphens/>
      <w:spacing w:before="240" w:after="120" w:line="240" w:lineRule="auto"/>
      <w:textAlignment w:val="baseline"/>
    </w:pPr>
    <w:rPr>
      <w:rFonts w:ascii="Arial Black" w:hAnsi="Arial Black" w:cs="Arial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pPr>
      <w:spacing w:after="120"/>
    </w:pPr>
  </w:style>
  <w:style w:type="paragraph" w:styleId="Zoznam">
    <w:name w:val="List"/>
    <w:basedOn w:val="Zkladntext"/>
    <w:uiPriority w:val="99"/>
    <w:rsid w:val="00291DCB"/>
    <w:rPr>
      <w:rFonts w:ascii="Arial" w:hAnsi="Arial"/>
    </w:rPr>
  </w:style>
  <w:style w:type="paragraph" w:styleId="Popis">
    <w:name w:val="caption"/>
    <w:basedOn w:val="Normlny"/>
    <w:uiPriority w:val="99"/>
    <w:qFormat/>
    <w:rsid w:val="00291DCB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Normlny"/>
    <w:uiPriority w:val="99"/>
    <w:qFormat/>
    <w:rsid w:val="00291DCB"/>
    <w:pPr>
      <w:suppressLineNumbers/>
    </w:pPr>
    <w:rPr>
      <w:rFonts w:ascii="Arial" w:hAnsi="Arial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lny14pt">
    <w:name w:val="Normálny + 14 pt"/>
    <w:basedOn w:val="Normlny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9305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kontrolor</cp:lastModifiedBy>
  <cp:revision>2</cp:revision>
  <cp:lastPrinted>2019-08-28T05:33:00Z</cp:lastPrinted>
  <dcterms:created xsi:type="dcterms:W3CDTF">2020-09-08T06:41:00Z</dcterms:created>
  <dcterms:modified xsi:type="dcterms:W3CDTF">2020-09-08T06:41:00Z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